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D24C" w14:textId="269BFC1F" w:rsidR="00807D35" w:rsidRPr="00807D35" w:rsidRDefault="00807D35" w:rsidP="00807D35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Mức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xử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phạt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đối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với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một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số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hành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vi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vi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phạm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của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người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điều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khiển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ô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tô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chở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người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bốn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bánh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có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gắn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động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cơ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chở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hàng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bốn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bánh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có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gắn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động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cơ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và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các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loại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tương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tự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ô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tô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07D35">
        <w:rPr>
          <w:rFonts w:ascii="Arial" w:hAnsi="Arial" w:cs="Arial"/>
          <w:color w:val="000000"/>
          <w:sz w:val="24"/>
          <w:szCs w:val="24"/>
        </w:rPr>
        <w:t>Nghị</w:t>
      </w:r>
      <w:proofErr w:type="spellEnd"/>
      <w:r w:rsidRPr="00807D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07D35">
        <w:rPr>
          <w:rFonts w:ascii="Arial" w:hAnsi="Arial" w:cs="Arial"/>
          <w:color w:val="000000"/>
          <w:sz w:val="24"/>
          <w:szCs w:val="24"/>
        </w:rPr>
        <w:t>định</w:t>
      </w:r>
      <w:proofErr w:type="spellEnd"/>
      <w:r w:rsidRPr="00807D3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07D35">
        <w:rPr>
          <w:rFonts w:ascii="Arial" w:hAnsi="Arial" w:cs="Arial"/>
          <w:color w:val="000000"/>
          <w:sz w:val="24"/>
          <w:szCs w:val="24"/>
        </w:rPr>
        <w:t>số</w:t>
      </w:r>
      <w:proofErr w:type="spellEnd"/>
      <w:r w:rsidRPr="00807D35">
        <w:rPr>
          <w:rFonts w:ascii="Arial" w:hAnsi="Arial" w:cs="Arial"/>
          <w:color w:val="000000"/>
          <w:sz w:val="24"/>
          <w:szCs w:val="24"/>
        </w:rPr>
        <w:t xml:space="preserve"> 168/2024/NĐ-CP</w:t>
      </w:r>
    </w:p>
    <w:tbl>
      <w:tblPr>
        <w:tblW w:w="9653" w:type="dxa"/>
        <w:tblInd w:w="-459" w:type="dxa"/>
        <w:tblLook w:val="04A0" w:firstRow="1" w:lastRow="0" w:firstColumn="1" w:lastColumn="0" w:noHBand="0" w:noVBand="1"/>
      </w:tblPr>
      <w:tblGrid>
        <w:gridCol w:w="670"/>
        <w:gridCol w:w="4115"/>
        <w:gridCol w:w="2766"/>
        <w:gridCol w:w="2088"/>
        <w:gridCol w:w="14"/>
      </w:tblGrid>
      <w:tr w:rsidR="00807D35" w:rsidRPr="00934492" w14:paraId="039F1B9D" w14:textId="77777777" w:rsidTr="00C73645">
        <w:trPr>
          <w:trHeight w:val="55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0D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F8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HÀNH VI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PHẠM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22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168/2024/NĐ-CP</w:t>
            </w:r>
          </w:p>
        </w:tc>
      </w:tr>
      <w:tr w:rsidR="00807D35" w:rsidRPr="00934492" w14:paraId="060D938C" w14:textId="77777777" w:rsidTr="00C73645">
        <w:trPr>
          <w:gridAfter w:val="1"/>
          <w:wAfter w:w="14" w:type="dxa"/>
          <w:trHeight w:val="51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74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A07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79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MỨC PHẠT TIỀN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687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TRỪ ĐIỂM /TƯỚC GPLX</w:t>
            </w:r>
          </w:p>
        </w:tc>
      </w:tr>
      <w:tr w:rsidR="00807D35" w:rsidRPr="00934492" w14:paraId="534BB91E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E11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8275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đủ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đèn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chiếu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giờ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hôm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trước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giờ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hôm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sau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sương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mù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khói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bụi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mưa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xấu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làm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chế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tầm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nhìn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AC0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800.000đ – 1.000.000đ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729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35" w:rsidRPr="00934492" w14:paraId="5B695B76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83D9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E6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hướng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quyền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trước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khuyết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vạch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kẻ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5B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  <w:p w14:paraId="4F864D8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9044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492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795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35" w:rsidRPr="00934492" w14:paraId="7CC6685C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B6CC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B6C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nhưng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đã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dưới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3B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8.000.000đ – 10.000.000đ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7E3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35" w:rsidRPr="00934492" w14:paraId="3417D65F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83D6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90A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đã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thẩm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quyền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tẩy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xóa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còn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C77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D875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35" w:rsidRPr="00934492" w14:paraId="5E6DDE6E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DA7F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7C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giảm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dừng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ưu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ưu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nhánh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A49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61F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4D4BF39B" w14:textId="77777777" w:rsidTr="00C73645">
        <w:trPr>
          <w:gridAfter w:val="1"/>
          <w:wAfter w:w="14" w:type="dxa"/>
          <w:trHeight w:val="57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12A7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71B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tay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cầm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thoại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thiết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C27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DC7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6F27708D" w14:textId="77777777" w:rsidTr="00C73645">
        <w:trPr>
          <w:gridAfter w:val="1"/>
          <w:wAfter w:w="14" w:type="dxa"/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5440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E5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lệnh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đèn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tín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1DE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A06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11CC0415" w14:textId="77777777" w:rsidTr="00C73645">
        <w:trPr>
          <w:gridAfter w:val="1"/>
          <w:wAfter w:w="14" w:type="dxa"/>
          <w:trHeight w:val="56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432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6F7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lệnh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hướng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dẫn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kiểm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soát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C26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126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237B5CCD" w14:textId="77777777" w:rsidTr="00C73645">
        <w:trPr>
          <w:gridAfter w:val="1"/>
          <w:wAfter w:w="14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623C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156720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ngược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một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ngược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Cấm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ngược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B3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2E4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4DCB00AA" w14:textId="77777777" w:rsidTr="00C73645">
        <w:trPr>
          <w:gridAfter w:val="1"/>
          <w:wAfter w:w="14" w:type="dxa"/>
          <w:trHeight w:val="6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DE9E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2B7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Vận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hóa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vận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móc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thiết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kỹ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thuật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trụ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chằng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buộc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chằng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buộc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vận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móc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khổ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lớn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khổ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chuyên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phải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lưu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51F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22.000.000đ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2D8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229BA4F3" w14:textId="77777777" w:rsidTr="00C73645">
        <w:trPr>
          <w:gridAfter w:val="1"/>
          <w:wAfter w:w="14" w:type="dxa"/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56B6C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2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thùng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chờ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nóc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để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bám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cửa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ngoài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AE3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061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3115FD91" w14:textId="77777777" w:rsidTr="00C73645">
        <w:trPr>
          <w:gridAfter w:val="1"/>
          <w:wAfter w:w="14" w:type="dxa"/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D1E6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34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35km/h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0D8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12.000.00đ – 14.000.000đ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35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15A75FDE" w14:textId="77777777" w:rsidTr="00C73645">
        <w:trPr>
          <w:gridAfter w:val="1"/>
          <w:wAfter w:w="14" w:type="dxa"/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5F8B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365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rõ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chữ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proofErr w:type="gram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chữ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bẻ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làm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chữ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sắc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chữ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nền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hình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kích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thước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kể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cả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rơ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moóc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mi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rơ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moóc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193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20.000.000đ – 26.000.000đ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7E1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50977FF7" w14:textId="77777777" w:rsidTr="00C73645">
        <w:trPr>
          <w:gridAfter w:val="1"/>
          <w:wAfter w:w="14" w:type="dxa"/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8DA1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4C5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chưa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chưa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03F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6.000.000đ – 8.000.000đ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054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6228BCBA" w14:textId="77777777" w:rsidTr="00C73645">
        <w:trPr>
          <w:gridAfter w:val="1"/>
          <w:wAfter w:w="14" w:type="dxa"/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FF85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48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80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FF0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18.000.000đ – 20.000.000đ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EB9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137CDD0E" w14:textId="77777777" w:rsidTr="00C73645">
        <w:trPr>
          <w:gridAfter w:val="1"/>
          <w:wAfter w:w="14" w:type="dxa"/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0B7A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45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cửa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để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cửa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bảo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đảm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toàn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gây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D27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20.000.000đ – 22.000.000đ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BF3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6F7A3DF6" w14:textId="77777777" w:rsidTr="00C73645">
        <w:trPr>
          <w:gridAfter w:val="1"/>
          <w:wAfter w:w="14" w:type="dxa"/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1291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0C2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đánh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võng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đuổi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nhau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chân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vô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lăng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3F4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40.000.000đ – 50.000.000đ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9F4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- 12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5E0DB5DC" w14:textId="77777777" w:rsidTr="00C73645">
        <w:trPr>
          <w:gridAfter w:val="1"/>
          <w:wAfter w:w="14" w:type="dxa"/>
          <w:trHeight w:val="51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0346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667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80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2C3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0D6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- 24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2D6BFAD9" w14:textId="77777777" w:rsidTr="00C73645">
        <w:trPr>
          <w:gridAfter w:val="1"/>
          <w:wAfter w:w="14" w:type="dxa"/>
          <w:trHeight w:val="51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99A7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89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yêu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cầu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kiểm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CCE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441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- 24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5A1641B4" w14:textId="77777777" w:rsidTr="00C73645">
        <w:trPr>
          <w:gridAfter w:val="1"/>
          <w:wAfter w:w="14" w:type="dxa"/>
          <w:trHeight w:val="51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12ED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DB8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thể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túy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kích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thích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pháp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luật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cấm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95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2E7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- 24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7E0162D3" w14:textId="77777777" w:rsidTr="00C73645">
        <w:trPr>
          <w:gridAfter w:val="1"/>
          <w:wAfter w:w="14" w:type="dxa"/>
          <w:trHeight w:val="54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7241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F59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bốn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bốn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653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12.000.00đ – 14.000.000đ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FA3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2F130A86" w14:textId="77777777" w:rsidTr="00C73645">
        <w:trPr>
          <w:gridAfter w:val="1"/>
          <w:wAfter w:w="14" w:type="dxa"/>
          <w:trHeight w:val="54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3E1A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324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Dừng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đỗ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đúng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B40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12.000.00đ – 14.000.000đ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C7F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4E329D6C" w14:textId="77777777" w:rsidTr="00C73645">
        <w:trPr>
          <w:gridAfter w:val="1"/>
          <w:wAfter w:w="14" w:type="dxa"/>
          <w:trHeight w:val="3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8EB9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131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ngược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8E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715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369B8994" w14:textId="77777777" w:rsidTr="00C73645">
        <w:trPr>
          <w:gridAfter w:val="1"/>
          <w:wAfter w:w="14" w:type="dxa"/>
          <w:trHeight w:val="4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2675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116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Lùi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470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A52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0512B145" w14:textId="77777777" w:rsidTr="00C73645">
        <w:trPr>
          <w:gridAfter w:val="1"/>
          <w:wAfter w:w="14" w:type="dxa"/>
          <w:trHeight w:val="4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BB26" w14:textId="77777777" w:rsidR="00807D35" w:rsidRPr="00934492" w:rsidRDefault="00807D35" w:rsidP="00807D35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661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Quay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đầu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10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30.000.000đ – 40.000.000đ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536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</w:tbl>
    <w:p w14:paraId="39274F4D" w14:textId="77777777" w:rsidR="00807D35" w:rsidRPr="00934492" w:rsidRDefault="00807D35" w:rsidP="00807D35">
      <w:pPr>
        <w:spacing w:before="120"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4492">
        <w:rPr>
          <w:rFonts w:ascii="Arial" w:hAnsi="Arial" w:cs="Arial"/>
          <w:color w:val="000000"/>
          <w:sz w:val="24"/>
          <w:szCs w:val="24"/>
        </w:rPr>
        <w:t xml:space="preserve">+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Mức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xử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phạt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đối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với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một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số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hành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vi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vi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phạm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của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người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điều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khiển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mô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tô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,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gắn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máy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,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các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loại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tương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tự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mô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tô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và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các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loại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tương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tự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xe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gắn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z w:val="24"/>
          <w:szCs w:val="24"/>
        </w:rPr>
        <w:t>máy</w:t>
      </w:r>
      <w:proofErr w:type="spellEnd"/>
      <w:r w:rsidRPr="00934492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670"/>
        <w:gridCol w:w="4115"/>
        <w:gridCol w:w="2766"/>
        <w:gridCol w:w="2088"/>
      </w:tblGrid>
      <w:tr w:rsidR="00807D35" w:rsidRPr="00934492" w14:paraId="036F2998" w14:textId="77777777" w:rsidTr="00C73645">
        <w:trPr>
          <w:trHeight w:val="31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F65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80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HÀNH VI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PHẠM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302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168/2024/NĐ-CP</w:t>
            </w:r>
          </w:p>
        </w:tc>
      </w:tr>
      <w:tr w:rsidR="00807D35" w:rsidRPr="00934492" w14:paraId="6DBD2814" w14:textId="77777777" w:rsidTr="00C73645">
        <w:trPr>
          <w:trHeight w:val="51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550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D3B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D2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MỨC PHẠT TIỀN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D4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TRỪ ĐIỂM/TƯỚC</w:t>
            </w:r>
          </w:p>
          <w:p w14:paraId="6EB6969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GPLX</w:t>
            </w:r>
          </w:p>
        </w:tc>
      </w:tr>
      <w:tr w:rsidR="00807D35" w:rsidRPr="00934492" w14:paraId="56BA31EA" w14:textId="77777777" w:rsidTr="00C73645">
        <w:trPr>
          <w:trHeight w:val="7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6AB3" w14:textId="77777777" w:rsidR="00807D35" w:rsidRPr="00934492" w:rsidRDefault="00807D35" w:rsidP="00807D35">
            <w:pPr>
              <w:pStyle w:val="ListParagraph"/>
              <w:numPr>
                <w:ilvl w:val="0"/>
                <w:numId w:val="2"/>
              </w:numPr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0A0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ngược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một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8BF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BD1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452669F8" w14:textId="77777777" w:rsidTr="00C73645">
        <w:trPr>
          <w:trHeight w:val="7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CE2D" w14:textId="77777777" w:rsidR="00807D35" w:rsidRPr="00934492" w:rsidRDefault="00807D35" w:rsidP="00807D3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6AF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lệnh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đèn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tín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5EA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B74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16D7E703" w14:textId="77777777" w:rsidTr="00C73645">
        <w:trPr>
          <w:trHeight w:val="7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26C2" w14:textId="77777777" w:rsidR="00807D35" w:rsidRPr="00934492" w:rsidRDefault="00807D35" w:rsidP="00807D3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CE3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20 km/h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24C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6.000.000đ – 8.000.000đ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8A4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51412667" w14:textId="77777777" w:rsidTr="00C73645">
        <w:trPr>
          <w:trHeight w:val="7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A2E" w14:textId="77777777" w:rsidR="00807D35" w:rsidRPr="00934492" w:rsidRDefault="00807D35" w:rsidP="00807D3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74A7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những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chưa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chưa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F63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2.000.000đ – 3.000.000đ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2A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6E0A8825" w14:textId="77777777" w:rsidTr="00C73645">
        <w:trPr>
          <w:trHeight w:val="8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2B0" w14:textId="77777777" w:rsidR="00807D35" w:rsidRPr="00934492" w:rsidRDefault="00807D35" w:rsidP="00807D35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0" w:firstLine="2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88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80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E5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6.000.000đ – 8.000.000đ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2385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01819162" w14:textId="77777777" w:rsidTr="00C73645">
        <w:trPr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E3C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6E1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lách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đánh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võng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chân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chống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quệt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xuống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chạy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97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8.000.000đ – 10.000.000đ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4B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- 12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11C41E87" w14:textId="77777777" w:rsidTr="00C73645">
        <w:trPr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FF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058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nồng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độ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cồn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80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/100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máu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vượt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miligam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/1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CD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8.000.000đ – 10.000.000đ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633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- 24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735B9C55" w14:textId="77777777" w:rsidTr="00C73645">
        <w:trPr>
          <w:trHeight w:val="6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DEB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B26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thể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túy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chất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kích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thích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mà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pháp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luật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cấm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DB6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8.000.000đ – 10.000.000đ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E5D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- 24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807D35" w:rsidRPr="00934492" w14:paraId="0858C2A2" w14:textId="77777777" w:rsidTr="00C73645">
        <w:trPr>
          <w:trHeight w:val="31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554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3E8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mô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vào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trừ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phục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vụ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quản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lý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bảo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trì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tốc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3C1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4.000.000đ – 6.000.000đ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655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807D35" w:rsidRPr="00934492" w14:paraId="51F42438" w14:textId="77777777" w:rsidTr="00C73645">
        <w:trPr>
          <w:trHeight w:val="93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18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756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Gây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dừng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ngay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giữ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nguyên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trợ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giúp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nạn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lại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hiện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trường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đến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trình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báo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ngay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quan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Công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an,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Ủy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nhân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dân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nơi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gần</w:t>
            </w:r>
            <w:proofErr w:type="spellEnd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color w:val="000000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B39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8.000.000đ – 10.000.000đ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44E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44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</w:tbl>
    <w:p w14:paraId="1E1E564E" w14:textId="77777777" w:rsidR="00807D35" w:rsidRPr="00934492" w:rsidRDefault="00807D35" w:rsidP="00807D35">
      <w:pPr>
        <w:spacing w:before="120" w:after="120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+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Một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số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hành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vi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bị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tịch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thu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phương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tiện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theo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Nghị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934492">
        <w:rPr>
          <w:rFonts w:ascii="Arial" w:hAnsi="Arial" w:cs="Arial"/>
          <w:color w:val="000000"/>
          <w:spacing w:val="-4"/>
          <w:sz w:val="24"/>
          <w:szCs w:val="24"/>
        </w:rPr>
        <w:t>định</w:t>
      </w:r>
      <w:proofErr w:type="spellEnd"/>
      <w:r w:rsidRPr="00934492">
        <w:rPr>
          <w:rFonts w:ascii="Arial" w:hAnsi="Arial" w:cs="Arial"/>
          <w:color w:val="000000"/>
          <w:spacing w:val="-4"/>
          <w:sz w:val="24"/>
          <w:szCs w:val="24"/>
          <w:lang w:val="vi-VN"/>
        </w:rPr>
        <w:t xml:space="preserve"> số </w:t>
      </w:r>
      <w:r w:rsidRPr="00934492">
        <w:rPr>
          <w:rFonts w:ascii="Arial" w:hAnsi="Arial" w:cs="Arial"/>
          <w:color w:val="000000"/>
          <w:spacing w:val="-4"/>
          <w:sz w:val="24"/>
          <w:szCs w:val="24"/>
        </w:rPr>
        <w:t>168/2024/NĐ-CP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372"/>
      </w:tblGrid>
      <w:tr w:rsidR="00807D35" w:rsidRPr="00934492" w14:paraId="4B8186C3" w14:textId="77777777" w:rsidTr="00C73645">
        <w:trPr>
          <w:trHeight w:val="485"/>
        </w:trPr>
        <w:tc>
          <w:tcPr>
            <w:tcW w:w="9812" w:type="dxa"/>
            <w:gridSpan w:val="2"/>
            <w:shd w:val="clear" w:color="auto" w:fill="auto"/>
            <w:vAlign w:val="center"/>
          </w:tcPr>
          <w:p w14:paraId="0CE1BFA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ô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tô</w:t>
            </w:r>
            <w:proofErr w:type="spellEnd"/>
          </w:p>
        </w:tc>
      </w:tr>
      <w:tr w:rsidR="00807D35" w:rsidRPr="00934492" w14:paraId="5CB2EE5F" w14:textId="77777777" w:rsidTr="00C73645">
        <w:tc>
          <w:tcPr>
            <w:tcW w:w="1440" w:type="dxa"/>
            <w:shd w:val="clear" w:color="auto" w:fill="auto"/>
            <w:vAlign w:val="center"/>
          </w:tcPr>
          <w:p w14:paraId="431BC9A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2" w:type="dxa"/>
            <w:shd w:val="clear" w:color="auto" w:fill="auto"/>
          </w:tcPr>
          <w:p w14:paraId="1C14955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lách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võng</w:t>
            </w:r>
            <w:proofErr w:type="spellEnd"/>
          </w:p>
        </w:tc>
      </w:tr>
      <w:tr w:rsidR="00807D35" w:rsidRPr="00934492" w14:paraId="73C07ADC" w14:textId="77777777" w:rsidTr="00C73645">
        <w:tc>
          <w:tcPr>
            <w:tcW w:w="1440" w:type="dxa"/>
            <w:shd w:val="clear" w:color="auto" w:fill="auto"/>
            <w:vAlign w:val="center"/>
          </w:tcPr>
          <w:p w14:paraId="576F875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2" w:type="dxa"/>
            <w:shd w:val="clear" w:color="auto" w:fill="auto"/>
          </w:tcPr>
          <w:p w14:paraId="6CA7930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Tịch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rơ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moóc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ráp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7D35" w:rsidRPr="00934492" w14:paraId="63AB2D3E" w14:textId="77777777" w:rsidTr="00C73645">
        <w:tc>
          <w:tcPr>
            <w:tcW w:w="1440" w:type="dxa"/>
            <w:shd w:val="clear" w:color="auto" w:fill="auto"/>
            <w:vAlign w:val="center"/>
          </w:tcPr>
          <w:p w14:paraId="3A364BE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2" w:type="dxa"/>
            <w:shd w:val="clear" w:color="auto" w:fill="auto"/>
          </w:tcPr>
          <w:p w14:paraId="500B7C4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niên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hạn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</w:p>
        </w:tc>
      </w:tr>
      <w:tr w:rsidR="00807D35" w:rsidRPr="00934492" w14:paraId="720531C0" w14:textId="77777777" w:rsidTr="00C73645">
        <w:tc>
          <w:tcPr>
            <w:tcW w:w="1440" w:type="dxa"/>
            <w:shd w:val="clear" w:color="auto" w:fill="auto"/>
            <w:vAlign w:val="center"/>
          </w:tcPr>
          <w:p w14:paraId="38F39CF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72" w:type="dxa"/>
            <w:shd w:val="clear" w:color="auto" w:fill="auto"/>
          </w:tcPr>
          <w:p w14:paraId="74DA33E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492">
              <w:rPr>
                <w:rFonts w:ascii="Arial" w:hAnsi="Arial" w:cs="Arial"/>
                <w:sz w:val="24"/>
                <w:szCs w:val="24"/>
              </w:rPr>
              <w:t>Đ</w:t>
            </w:r>
            <w:r w:rsidRPr="00934492">
              <w:rPr>
                <w:rFonts w:ascii="Arial" w:hAnsi="Arial" w:cs="Arial"/>
                <w:sz w:val="24"/>
                <w:szCs w:val="24"/>
                <w:lang w:val="sv-SE"/>
              </w:rPr>
              <w:t>ua xe ô tô, mô tô trái phép</w:t>
            </w:r>
            <w:r w:rsidRPr="00934492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  <w:lang w:val="sv-SE"/>
              </w:rPr>
              <w:t>.</w:t>
            </w:r>
          </w:p>
        </w:tc>
      </w:tr>
      <w:tr w:rsidR="00807D35" w:rsidRPr="00934492" w14:paraId="7FE8E461" w14:textId="77777777" w:rsidTr="00C73645">
        <w:tc>
          <w:tcPr>
            <w:tcW w:w="1440" w:type="dxa"/>
            <w:shd w:val="clear" w:color="auto" w:fill="auto"/>
            <w:vAlign w:val="center"/>
          </w:tcPr>
          <w:p w14:paraId="4C528C0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72" w:type="dxa"/>
            <w:shd w:val="clear" w:color="auto" w:fill="auto"/>
          </w:tcPr>
          <w:p w14:paraId="15D3F84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tờ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khai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vận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nhập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</w:p>
        </w:tc>
      </w:tr>
      <w:tr w:rsidR="00807D35" w:rsidRPr="00934492" w14:paraId="0174DCBF" w14:textId="77777777" w:rsidTr="00C73645">
        <w:tc>
          <w:tcPr>
            <w:tcW w:w="1440" w:type="dxa"/>
            <w:shd w:val="clear" w:color="auto" w:fill="auto"/>
            <w:vAlign w:val="center"/>
          </w:tcPr>
          <w:p w14:paraId="248E519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72" w:type="dxa"/>
            <w:shd w:val="clear" w:color="auto" w:fill="auto"/>
          </w:tcPr>
          <w:p w14:paraId="02DD5E3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kiểm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soát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nhưng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hết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thẩm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quyền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cấp</w:t>
            </w:r>
            <w:proofErr w:type="spellEnd"/>
          </w:p>
        </w:tc>
      </w:tr>
      <w:tr w:rsidR="00807D35" w:rsidRPr="00934492" w14:paraId="2ACE89DA" w14:textId="77777777" w:rsidTr="00C73645">
        <w:tc>
          <w:tcPr>
            <w:tcW w:w="9812" w:type="dxa"/>
            <w:gridSpan w:val="2"/>
            <w:shd w:val="clear" w:color="auto" w:fill="auto"/>
          </w:tcPr>
          <w:p w14:paraId="7B4540A9" w14:textId="77777777" w:rsidR="00807D35" w:rsidRPr="00934492" w:rsidRDefault="00807D35" w:rsidP="00C7364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mô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tô</w:t>
            </w:r>
            <w:proofErr w:type="spellEnd"/>
          </w:p>
        </w:tc>
      </w:tr>
      <w:tr w:rsidR="00807D35" w:rsidRPr="00934492" w14:paraId="50E8A917" w14:textId="77777777" w:rsidTr="00C73645">
        <w:tc>
          <w:tcPr>
            <w:tcW w:w="1440" w:type="dxa"/>
            <w:shd w:val="clear" w:color="auto" w:fill="auto"/>
            <w:vAlign w:val="center"/>
          </w:tcPr>
          <w:p w14:paraId="508B3D98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2" w:type="dxa"/>
            <w:shd w:val="clear" w:color="auto" w:fill="auto"/>
          </w:tcPr>
          <w:p w14:paraId="08C6E26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Buông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tay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chân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ngồi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nằm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yên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đang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; quay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phía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để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bịt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mắt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07D35" w:rsidRPr="00934492" w14:paraId="617CB8DE" w14:textId="77777777" w:rsidTr="00C73645">
        <w:tc>
          <w:tcPr>
            <w:tcW w:w="1440" w:type="dxa"/>
            <w:shd w:val="clear" w:color="auto" w:fill="auto"/>
            <w:vAlign w:val="center"/>
          </w:tcPr>
          <w:p w14:paraId="08ABB41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2" w:type="dxa"/>
            <w:shd w:val="clear" w:color="auto" w:fill="auto"/>
          </w:tcPr>
          <w:p w14:paraId="3E29B7C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một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bánh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bánh,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bánh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bánh;</w:t>
            </w:r>
          </w:p>
        </w:tc>
      </w:tr>
      <w:tr w:rsidR="00807D35" w:rsidRPr="00934492" w14:paraId="23FFE9A6" w14:textId="77777777" w:rsidTr="00C73645">
        <w:tc>
          <w:tcPr>
            <w:tcW w:w="1440" w:type="dxa"/>
            <w:shd w:val="clear" w:color="auto" w:fill="auto"/>
            <w:vAlign w:val="center"/>
          </w:tcPr>
          <w:p w14:paraId="08CCF97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72" w:type="dxa"/>
            <w:shd w:val="clear" w:color="auto" w:fill="auto"/>
          </w:tcPr>
          <w:p w14:paraId="3A8BE5E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lách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đánh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võng</w:t>
            </w:r>
            <w:proofErr w:type="spellEnd"/>
          </w:p>
        </w:tc>
      </w:tr>
      <w:tr w:rsidR="00807D35" w:rsidRPr="00934492" w14:paraId="1E1066FD" w14:textId="77777777" w:rsidTr="00C73645">
        <w:tc>
          <w:tcPr>
            <w:tcW w:w="1440" w:type="dxa"/>
            <w:shd w:val="clear" w:color="auto" w:fill="auto"/>
            <w:vAlign w:val="center"/>
          </w:tcPr>
          <w:p w14:paraId="2BB33C2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72" w:type="dxa"/>
            <w:shd w:val="clear" w:color="auto" w:fill="auto"/>
          </w:tcPr>
          <w:p w14:paraId="16177C8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Tịch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sản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lắp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ráp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7D35" w:rsidRPr="00934492" w14:paraId="09E428F4" w14:textId="77777777" w:rsidTr="00C73645">
        <w:tc>
          <w:tcPr>
            <w:tcW w:w="1440" w:type="dxa"/>
            <w:shd w:val="clear" w:color="auto" w:fill="auto"/>
            <w:vAlign w:val="center"/>
          </w:tcPr>
          <w:p w14:paraId="764BB0A1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72" w:type="dxa"/>
            <w:shd w:val="clear" w:color="auto" w:fill="auto"/>
          </w:tcPr>
          <w:p w14:paraId="50C3FD95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Đua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  <w:lang w:val="sv-SE"/>
              </w:rPr>
              <w:t> xe gắn máy, 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đạp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</w:p>
        </w:tc>
      </w:tr>
      <w:tr w:rsidR="00807D35" w:rsidRPr="00934492" w14:paraId="5F869F1B" w14:textId="77777777" w:rsidTr="00C73645">
        <w:tc>
          <w:tcPr>
            <w:tcW w:w="1440" w:type="dxa"/>
            <w:shd w:val="clear" w:color="auto" w:fill="auto"/>
            <w:vAlign w:val="center"/>
          </w:tcPr>
          <w:p w14:paraId="1103DABB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72" w:type="dxa"/>
            <w:shd w:val="clear" w:color="auto" w:fill="auto"/>
          </w:tcPr>
          <w:p w14:paraId="5BEAF35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tờ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khai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vận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nhập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</w:p>
        </w:tc>
      </w:tr>
      <w:tr w:rsidR="00807D35" w:rsidRPr="00934492" w14:paraId="680EEB88" w14:textId="77777777" w:rsidTr="00C73645">
        <w:tc>
          <w:tcPr>
            <w:tcW w:w="1440" w:type="dxa"/>
            <w:shd w:val="clear" w:color="auto" w:fill="auto"/>
            <w:vAlign w:val="center"/>
          </w:tcPr>
          <w:p w14:paraId="4A92BFB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372" w:type="dxa"/>
            <w:shd w:val="clear" w:color="auto" w:fill="auto"/>
          </w:tcPr>
          <w:p w14:paraId="7AD21224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điều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khiển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kiểm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soát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nhưng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hết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trị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hiệu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thẩm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quyền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cấp</w:t>
            </w:r>
            <w:proofErr w:type="spellEnd"/>
          </w:p>
        </w:tc>
      </w:tr>
      <w:tr w:rsidR="00807D35" w:rsidRPr="00934492" w14:paraId="6B1EE7C2" w14:textId="77777777" w:rsidTr="00C73645">
        <w:tc>
          <w:tcPr>
            <w:tcW w:w="9812" w:type="dxa"/>
            <w:gridSpan w:val="2"/>
            <w:shd w:val="clear" w:color="auto" w:fill="auto"/>
          </w:tcPr>
          <w:p w14:paraId="1F6EB55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đối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chủ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ô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mô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chuyên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dùng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</w:p>
          <w:p w14:paraId="7530C5B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bốn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bánh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gắn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động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loại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tương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tự</w:t>
            </w:r>
            <w:proofErr w:type="spellEnd"/>
            <w:r w:rsidRPr="00934492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807D35" w:rsidRPr="00934492" w14:paraId="54BCEB39" w14:textId="77777777" w:rsidTr="00C73645">
        <w:tc>
          <w:tcPr>
            <w:tcW w:w="1440" w:type="dxa"/>
            <w:shd w:val="clear" w:color="auto" w:fill="auto"/>
            <w:vAlign w:val="center"/>
          </w:tcPr>
          <w:p w14:paraId="1BADE04F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72" w:type="dxa"/>
            <w:shd w:val="clear" w:color="auto" w:fill="auto"/>
          </w:tcPr>
          <w:p w14:paraId="788300A6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Cắt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tẩy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xoá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đục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);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bị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cắt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tẩy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xoá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đục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phép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khung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</w:p>
        </w:tc>
      </w:tr>
      <w:tr w:rsidR="00807D35" w:rsidRPr="00934492" w14:paraId="6496CF10" w14:textId="77777777" w:rsidTr="00C73645">
        <w:tc>
          <w:tcPr>
            <w:tcW w:w="1440" w:type="dxa"/>
            <w:shd w:val="clear" w:color="auto" w:fill="auto"/>
            <w:vAlign w:val="center"/>
          </w:tcPr>
          <w:p w14:paraId="6E98BA8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72" w:type="dxa"/>
            <w:shd w:val="clear" w:color="auto" w:fill="auto"/>
          </w:tcPr>
          <w:p w14:paraId="7439B30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07D35" w:rsidRPr="00934492" w14:paraId="6A7B7B23" w14:textId="77777777" w:rsidTr="00C73645">
        <w:tc>
          <w:tcPr>
            <w:tcW w:w="1440" w:type="dxa"/>
            <w:shd w:val="clear" w:color="auto" w:fill="auto"/>
            <w:vAlign w:val="center"/>
          </w:tcPr>
          <w:p w14:paraId="089294D3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72" w:type="dxa"/>
            <w:shd w:val="clear" w:color="auto" w:fill="auto"/>
          </w:tcPr>
          <w:p w14:paraId="7A64075D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niên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hạn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</w:p>
        </w:tc>
      </w:tr>
      <w:tr w:rsidR="00807D35" w:rsidRPr="00934492" w14:paraId="121254D7" w14:textId="77777777" w:rsidTr="00C73645">
        <w:tc>
          <w:tcPr>
            <w:tcW w:w="1440" w:type="dxa"/>
            <w:shd w:val="clear" w:color="auto" w:fill="auto"/>
            <w:vAlign w:val="center"/>
          </w:tcPr>
          <w:p w14:paraId="1E2FCD67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72" w:type="dxa"/>
            <w:shd w:val="clear" w:color="auto" w:fill="auto"/>
          </w:tcPr>
          <w:p w14:paraId="2AE79A2C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phương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tiện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100%</w:t>
            </w:r>
          </w:p>
        </w:tc>
      </w:tr>
      <w:tr w:rsidR="00807D35" w:rsidRPr="00934492" w14:paraId="25D05E2B" w14:textId="77777777" w:rsidTr="00C73645">
        <w:tc>
          <w:tcPr>
            <w:tcW w:w="1440" w:type="dxa"/>
            <w:shd w:val="clear" w:color="auto" w:fill="auto"/>
            <w:vAlign w:val="center"/>
          </w:tcPr>
          <w:p w14:paraId="644D8130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72" w:type="dxa"/>
            <w:shd w:val="clear" w:color="auto" w:fill="auto"/>
          </w:tcPr>
          <w:p w14:paraId="0C61FA6A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ô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tô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rơ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moóc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rơ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moóc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kích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thước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thùng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đúng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ghi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giấy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chứng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nhận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kiểm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định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toàn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bảo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vệ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môi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trường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xe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</w:p>
        </w:tc>
      </w:tr>
      <w:tr w:rsidR="00807D35" w:rsidRPr="00934492" w14:paraId="392318F6" w14:textId="77777777" w:rsidTr="00C73645">
        <w:tc>
          <w:tcPr>
            <w:tcW w:w="1440" w:type="dxa"/>
            <w:shd w:val="clear" w:color="auto" w:fill="auto"/>
            <w:vAlign w:val="center"/>
          </w:tcPr>
          <w:p w14:paraId="45B97129" w14:textId="77777777" w:rsidR="00807D35" w:rsidRPr="00934492" w:rsidRDefault="00807D35" w:rsidP="00C73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4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72" w:type="dxa"/>
            <w:shd w:val="clear" w:color="auto" w:fill="auto"/>
          </w:tcPr>
          <w:p w14:paraId="76370E0E" w14:textId="77777777" w:rsidR="00807D35" w:rsidRPr="00934492" w:rsidRDefault="00807D35" w:rsidP="00C73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phạm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vi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giao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làm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trực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tiếp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chở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hàng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trọng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kế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quá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tải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kéo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492"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 w:rsidRPr="00934492">
              <w:rPr>
                <w:rFonts w:ascii="Arial" w:hAnsi="Arial" w:cs="Arial"/>
                <w:sz w:val="24"/>
                <w:szCs w:val="24"/>
              </w:rPr>
              <w:t xml:space="preserve"> 150%</w:t>
            </w:r>
          </w:p>
        </w:tc>
      </w:tr>
    </w:tbl>
    <w:p w14:paraId="1281622C" w14:textId="77777777" w:rsidR="00807D35" w:rsidRPr="00934492" w:rsidRDefault="00807D35" w:rsidP="00807D35">
      <w:pPr>
        <w:spacing w:before="120"/>
        <w:ind w:firstLine="720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CE07D6E" w14:textId="77777777" w:rsidR="00670E5B" w:rsidRDefault="00670E5B"/>
    <w:sectPr w:rsidR="0067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A3D"/>
    <w:multiLevelType w:val="hybridMultilevel"/>
    <w:tmpl w:val="B4500720"/>
    <w:lvl w:ilvl="0" w:tplc="BA18A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45550"/>
    <w:multiLevelType w:val="hybridMultilevel"/>
    <w:tmpl w:val="B4500720"/>
    <w:lvl w:ilvl="0" w:tplc="BA18A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35"/>
    <w:rsid w:val="00670E5B"/>
    <w:rsid w:val="00737C4D"/>
    <w:rsid w:val="00807D35"/>
    <w:rsid w:val="00B128F0"/>
    <w:rsid w:val="00C12491"/>
    <w:rsid w:val="00EA74C7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2ED6"/>
  <w15:chartTrackingRefBased/>
  <w15:docId w15:val="{CEA0C5C5-78CE-456B-B3AD-406662B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807D35"/>
    <w:pPr>
      <w:spacing w:after="160" w:line="240" w:lineRule="exact"/>
    </w:pPr>
    <w:rPr>
      <w:rFonts w:ascii=".VnTime" w:hAnsi=".VnTime" w:cs=".VnTime"/>
      <w:sz w:val="20"/>
      <w:szCs w:val="20"/>
    </w:rPr>
  </w:style>
  <w:style w:type="paragraph" w:styleId="ListParagraph">
    <w:name w:val="List Paragraph"/>
    <w:basedOn w:val="Normal"/>
    <w:uiPriority w:val="34"/>
    <w:qFormat/>
    <w:rsid w:val="00807D35"/>
    <w:pPr>
      <w:ind w:left="720"/>
    </w:pPr>
    <w:rPr>
      <w:rFonts w:ascii=".VnTime" w:eastAsia="SimSun" w:hAnsi=".VnTime" w:cs=".VnTim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Hoành Lộc</dc:creator>
  <cp:keywords/>
  <dc:description/>
  <cp:lastModifiedBy>Nguyễn Thị Hoành Lộc</cp:lastModifiedBy>
  <cp:revision>1</cp:revision>
  <dcterms:created xsi:type="dcterms:W3CDTF">2025-01-08T03:51:00Z</dcterms:created>
  <dcterms:modified xsi:type="dcterms:W3CDTF">2025-01-08T03:52:00Z</dcterms:modified>
</cp:coreProperties>
</file>